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6413"/>
        <w:gridCol w:w="567"/>
        <w:gridCol w:w="300"/>
      </w:tblGrid>
      <w:tr w14:paraId="3AD6DD96">
        <w:tblPrEx>
          <w:tblLayout w:type="fixed"/>
        </w:tblPrEx>
        <w:trPr>
          <w:trHeight w:val="2497" w:hRule="atLeast"/>
        </w:trPr>
        <w:tc>
          <w:tcPr>
            <w:tcW w:w="8222" w:type="dxa"/>
            <w:gridSpan w:val="3"/>
          </w:tcPr>
          <w:p w14:paraId="13F09524">
            <w:pPr>
              <w:pStyle w:val="2"/>
              <w:ind w:firstLine="721" w:firstLineChars="200"/>
              <w:jc w:val="both"/>
              <w:outlineLvl w:val="0"/>
              <w:rPr>
                <w:rFonts w:ascii="微软雅黑 Light" w:hAnsi="微软雅黑 Light" w:eastAsia="微软雅黑 Light" w:cs="黑体"/>
                <w:sz w:val="36"/>
              </w:rPr>
            </w:pPr>
            <w:r>
              <w:rPr>
                <w:rFonts w:hint="eastAsia" w:ascii="微软雅黑 Light" w:hAnsi="微软雅黑 Light" w:eastAsia="微软雅黑 Light"/>
                <w:sz w:val="3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3923665</wp:posOffset>
                  </wp:positionH>
                  <wp:positionV relativeFrom="paragraph">
                    <wp:posOffset>305435</wp:posOffset>
                  </wp:positionV>
                  <wp:extent cx="1002030" cy="1502410"/>
                  <wp:effectExtent l="0" t="0" r="7620" b="2540"/>
                  <wp:wrapTight wrapText="bothSides">
                    <wp:wrapPolygon>
                      <wp:start x="0" y="0"/>
                      <wp:lineTo x="0" y="21363"/>
                      <wp:lineTo x="21354" y="21363"/>
                      <wp:lineTo x="21354" y="0"/>
                      <wp:lineTo x="0" y="0"/>
                    </wp:wrapPolygon>
                  </wp:wrapTight>
                  <wp:docPr id="3" name="图片 3" descr="IMG_9544 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9544 副本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030" cy="150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 Light" w:hAnsi="微软雅黑 Light" w:eastAsia="微软雅黑 Light" w:cs="黑体"/>
                <w:sz w:val="36"/>
              </w:rPr>
              <w:t>姜植藂</w:t>
            </w:r>
          </w:p>
          <w:p w14:paraId="0F963CE4">
            <w:pPr>
              <w:jc w:val="center"/>
              <w:rPr>
                <w:rFonts w:ascii="微软雅黑 Light" w:hAnsi="微软雅黑 Light" w:eastAsia="微软雅黑 Light"/>
                <w:b/>
                <w:bCs/>
                <w:sz w:val="15"/>
                <w:szCs w:val="21"/>
              </w:rPr>
            </w:pPr>
          </w:p>
          <w:p w14:paraId="53FBD112">
            <w:pPr>
              <w:widowControl/>
              <w:numPr>
                <w:ilvl w:val="0"/>
                <w:numId w:val="1"/>
              </w:numPr>
              <w:ind w:left="420" w:leftChars="0" w:hanging="420" w:firstLineChars="0"/>
              <w:jc w:val="both"/>
              <w:rPr>
                <w:rFonts w:ascii="微软雅黑 Light" w:hAnsi="微软雅黑 Light" w:eastAsia="微软雅黑 Light"/>
                <w:b/>
                <w:bCs/>
                <w:sz w:val="15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b/>
                <w:bCs/>
                <w:sz w:val="15"/>
                <w:szCs w:val="21"/>
              </w:rPr>
              <w:t>地址：北京市</w:t>
            </w:r>
            <w:r>
              <w:rPr>
                <w:rFonts w:ascii="微软雅黑 Light" w:hAnsi="微软雅黑 Light" w:eastAsia="微软雅黑 Light"/>
                <w:b/>
                <w:bCs/>
                <w:sz w:val="15"/>
                <w:szCs w:val="21"/>
              </w:rPr>
              <w:t xml:space="preserve">通州区景盛北一街甲12号             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5"/>
                <w:szCs w:val="21"/>
              </w:rPr>
              <w:t xml:space="preserve">    </w:t>
            </w:r>
            <w:r>
              <w:rPr>
                <w:rFonts w:ascii="微软雅黑 Light" w:hAnsi="微软雅黑 Light" w:eastAsia="微软雅黑 Light"/>
                <w:b/>
                <w:bCs/>
                <w:sz w:val="15"/>
                <w:szCs w:val="21"/>
              </w:rPr>
              <w:t xml:space="preserve">    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5"/>
                <w:szCs w:val="21"/>
              </w:rPr>
              <w:t xml:space="preserve">              </w:t>
            </w:r>
          </w:p>
          <w:p w14:paraId="35C50CB1">
            <w:pPr>
              <w:widowControl/>
              <w:numPr>
                <w:ilvl w:val="0"/>
                <w:numId w:val="1"/>
              </w:numPr>
              <w:ind w:left="420" w:leftChars="0" w:hanging="420" w:firstLineChars="0"/>
              <w:jc w:val="both"/>
              <w:rPr>
                <w:rFonts w:ascii="微软雅黑 Light" w:hAnsi="微软雅黑 Light" w:eastAsia="微软雅黑 Light"/>
                <w:b/>
                <w:bCs/>
                <w:sz w:val="15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b/>
                <w:bCs/>
                <w:sz w:val="15"/>
                <w:szCs w:val="21"/>
              </w:rPr>
              <w:t>邮箱：</w:t>
            </w:r>
            <w:r>
              <w:fldChar w:fldCharType="begin"/>
            </w:r>
            <w:r>
              <w:instrText xml:space="preserve"> HYPERLINK "mailto:939342547@qq.com" </w:instrText>
            </w:r>
            <w:r>
              <w:fldChar w:fldCharType="separate"/>
            </w:r>
            <w:r>
              <w:rPr>
                <w:rFonts w:hint="eastAsia" w:ascii="微软雅黑 Light" w:hAnsi="微软雅黑 Light" w:eastAsia="微软雅黑 Light"/>
                <w:b/>
                <w:bCs/>
                <w:sz w:val="15"/>
                <w:szCs w:val="21"/>
              </w:rPr>
              <w:t>jiangzhicong2516@163.com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5"/>
                <w:szCs w:val="21"/>
              </w:rPr>
              <w:fldChar w:fldCharType="end"/>
            </w:r>
          </w:p>
          <w:p w14:paraId="5D74FB80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/>
                <w:b/>
                <w:bCs/>
                <w:sz w:val="15"/>
                <w:szCs w:val="21"/>
              </w:rPr>
              <w:t>电话：17600192516</w:t>
            </w:r>
          </w:p>
        </w:tc>
        <w:tc>
          <w:tcPr>
            <w:tcW w:w="300" w:type="dxa"/>
          </w:tcPr>
          <w:p w14:paraId="6BE13C65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0FE56F3D">
        <w:tblPrEx>
          <w:tblLayout w:type="fixed"/>
        </w:tblPrEx>
        <w:tc>
          <w:tcPr>
            <w:tcW w:w="8222" w:type="dxa"/>
            <w:gridSpan w:val="3"/>
            <w:tcBorders>
              <w:bottom w:val="single" w:color="auto" w:sz="4" w:space="0"/>
            </w:tcBorders>
          </w:tcPr>
          <w:p w14:paraId="5FFF96BC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 w:cs="宋体"/>
                <w:b/>
                <w:bCs/>
                <w:sz w:val="18"/>
              </w:rPr>
              <w:t>教育背景</w:t>
            </w:r>
          </w:p>
        </w:tc>
        <w:tc>
          <w:tcPr>
            <w:tcW w:w="300" w:type="dxa"/>
            <w:tcBorders>
              <w:bottom w:val="single" w:color="auto" w:sz="4" w:space="0"/>
            </w:tcBorders>
          </w:tcPr>
          <w:p w14:paraId="6B46A2EE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0E847398">
        <w:tblPrEx>
          <w:tblLayout w:type="fixed"/>
        </w:tblPrEx>
        <w:trPr>
          <w:gridAfter w:val="2"/>
          <w:wAfter w:w="867" w:type="dxa"/>
          <w:trHeight w:val="1140" w:hRule="atLeast"/>
        </w:trPr>
        <w:tc>
          <w:tcPr>
            <w:tcW w:w="7655" w:type="dxa"/>
            <w:gridSpan w:val="2"/>
            <w:tcBorders>
              <w:top w:val="single" w:color="auto" w:sz="4" w:space="0"/>
            </w:tcBorders>
          </w:tcPr>
          <w:p w14:paraId="52E9E4C3">
            <w:pPr>
              <w:ind w:firstLine="360" w:firstLineChars="200"/>
              <w:jc w:val="both"/>
              <w:rPr>
                <w:rFonts w:ascii="微软雅黑 Light" w:hAnsi="微软雅黑 Light" w:eastAsia="微软雅黑 Light"/>
                <w:b/>
                <w:bCs/>
                <w:sz w:val="18"/>
              </w:rPr>
            </w:pP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 xml:space="preserve">院校 </w:t>
            </w:r>
            <w:r>
              <w:rPr>
                <w:rFonts w:ascii="微软雅黑 Light" w:hAnsi="微软雅黑 Light" w:eastAsia="微软雅黑 Light"/>
                <w:b/>
                <w:bCs/>
                <w:sz w:val="18"/>
              </w:rPr>
              <w:t xml:space="preserve">            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 xml:space="preserve">学院 </w:t>
            </w:r>
            <w:r>
              <w:rPr>
                <w:rFonts w:ascii="微软雅黑 Light" w:hAnsi="微软雅黑 Light" w:eastAsia="微软雅黑 Light"/>
                <w:b/>
                <w:bCs/>
                <w:sz w:val="18"/>
              </w:rPr>
              <w:t xml:space="preserve">         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 xml:space="preserve">专业 </w:t>
            </w:r>
            <w:r>
              <w:rPr>
                <w:rFonts w:ascii="微软雅黑 Light" w:hAnsi="微软雅黑 Light" w:eastAsia="微软雅黑 Light"/>
                <w:b/>
                <w:bCs/>
                <w:sz w:val="18"/>
              </w:rPr>
              <w:t xml:space="preserve">                 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>期间</w:t>
            </w:r>
          </w:p>
          <w:p w14:paraId="6FE9247D">
            <w:pPr>
              <w:numPr>
                <w:ilvl w:val="0"/>
                <w:numId w:val="2"/>
              </w:numPr>
              <w:jc w:val="both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</w:rPr>
              <w:t xml:space="preserve">中国政法大学    商学院 </w:t>
            </w:r>
            <w:r>
              <w:rPr>
                <w:rFonts w:ascii="微软雅黑 Light" w:hAnsi="微软雅黑 Light" w:eastAsia="微软雅黑 Light"/>
                <w:sz w:val="18"/>
              </w:rPr>
              <w:t xml:space="preserve">      </w:t>
            </w:r>
            <w:r>
              <w:rPr>
                <w:rFonts w:hint="eastAsia" w:ascii="微软雅黑 Light" w:hAnsi="微软雅黑 Light" w:eastAsia="微软雅黑 Light"/>
                <w:sz w:val="18"/>
              </w:rPr>
              <w:t xml:space="preserve">国际贸易学硕士 </w:t>
            </w:r>
            <w:r>
              <w:rPr>
                <w:rFonts w:ascii="微软雅黑 Light" w:hAnsi="微软雅黑 Light" w:eastAsia="微软雅黑 Light"/>
                <w:sz w:val="18"/>
              </w:rPr>
              <w:t xml:space="preserve">       </w:t>
            </w:r>
            <w:r>
              <w:rPr>
                <w:rFonts w:hint="eastAsia" w:ascii="微软雅黑 Light" w:hAnsi="微软雅黑 Light" w:eastAsia="微软雅黑 Light"/>
                <w:sz w:val="18"/>
              </w:rPr>
              <w:t>20</w:t>
            </w:r>
            <w:r>
              <w:rPr>
                <w:rFonts w:ascii="微软雅黑 Light" w:hAnsi="微软雅黑 Light" w:eastAsia="微软雅黑 Light"/>
                <w:sz w:val="18"/>
              </w:rPr>
              <w:t>15</w:t>
            </w:r>
            <w:r>
              <w:rPr>
                <w:rFonts w:hint="eastAsia" w:ascii="微软雅黑 Light" w:hAnsi="微软雅黑 Light" w:eastAsia="微软雅黑 Light"/>
                <w:sz w:val="18"/>
              </w:rPr>
              <w:t>.9-2</w:t>
            </w:r>
            <w:r>
              <w:rPr>
                <w:rFonts w:ascii="微软雅黑 Light" w:hAnsi="微软雅黑 Light" w:eastAsia="微软雅黑 Light"/>
                <w:sz w:val="18"/>
              </w:rPr>
              <w:t>018.6</w:t>
            </w:r>
          </w:p>
          <w:p w14:paraId="68F1B828">
            <w:pPr>
              <w:numPr>
                <w:ilvl w:val="0"/>
                <w:numId w:val="2"/>
              </w:numPr>
              <w:jc w:val="both"/>
              <w:rPr>
                <w:rFonts w:ascii="微软雅黑 Light" w:hAnsi="微软雅黑 Light" w:eastAsia="微软雅黑 Light"/>
                <w:b/>
                <w:bCs/>
                <w:sz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</w:rPr>
              <w:t xml:space="preserve">中国地质大学   数理学院 </w:t>
            </w:r>
            <w:r>
              <w:rPr>
                <w:rFonts w:ascii="微软雅黑 Light" w:hAnsi="微软雅黑 Light" w:eastAsia="微软雅黑 Light"/>
                <w:sz w:val="18"/>
              </w:rPr>
              <w:t xml:space="preserve">   </w:t>
            </w:r>
            <w:r>
              <w:rPr>
                <w:rFonts w:hint="eastAsia" w:ascii="微软雅黑 Light" w:hAnsi="微软雅黑 Light" w:eastAsia="微软雅黑 Light"/>
                <w:sz w:val="18"/>
              </w:rPr>
              <w:t xml:space="preserve">数学与应用数学学士 </w:t>
            </w:r>
            <w:r>
              <w:rPr>
                <w:rFonts w:ascii="微软雅黑 Light" w:hAnsi="微软雅黑 Light" w:eastAsia="微软雅黑 Light"/>
                <w:sz w:val="18"/>
              </w:rPr>
              <w:t xml:space="preserve">     2009.9-2013.6</w:t>
            </w:r>
          </w:p>
        </w:tc>
      </w:tr>
      <w:tr w14:paraId="65E5FA18">
        <w:tblPrEx>
          <w:tblLayout w:type="fixed"/>
        </w:tblPrEx>
        <w:tc>
          <w:tcPr>
            <w:tcW w:w="8222" w:type="dxa"/>
            <w:gridSpan w:val="3"/>
            <w:tcBorders>
              <w:bottom w:val="single" w:color="auto" w:sz="4" w:space="0"/>
            </w:tcBorders>
          </w:tcPr>
          <w:p w14:paraId="0A535A0D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>工作经历</w:t>
            </w:r>
          </w:p>
        </w:tc>
        <w:tc>
          <w:tcPr>
            <w:tcW w:w="300" w:type="dxa"/>
            <w:tcBorders>
              <w:bottom w:val="single" w:color="auto" w:sz="4" w:space="0"/>
            </w:tcBorders>
          </w:tcPr>
          <w:p w14:paraId="3AB2514E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46665C6C">
        <w:tblPrEx>
          <w:tblLayout w:type="fixed"/>
        </w:tblPrEx>
        <w:trPr>
          <w:trHeight w:val="1035" w:hRule="atLeast"/>
        </w:trPr>
        <w:tc>
          <w:tcPr>
            <w:tcW w:w="8522" w:type="dxa"/>
            <w:gridSpan w:val="4"/>
          </w:tcPr>
          <w:p w14:paraId="78693EC2">
            <w:pPr>
              <w:jc w:val="both"/>
              <w:rPr>
                <w:rFonts w:hint="eastAsia" w:ascii="微软雅黑 Light" w:hAnsi="微软雅黑 Light" w:eastAsia="微软雅黑 Light"/>
                <w:b/>
                <w:bCs/>
                <w:sz w:val="18"/>
              </w:rPr>
            </w:pPr>
          </w:p>
          <w:p w14:paraId="7EA701A9">
            <w:pPr>
              <w:jc w:val="both"/>
              <w:rPr>
                <w:rFonts w:hint="eastAsia" w:ascii="微软雅黑 Light" w:hAnsi="微软雅黑 Light" w:eastAsia="微软雅黑 Light"/>
                <w:sz w:val="18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>北京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  <w:lang w:val="en-US" w:eastAsia="zh-CN"/>
              </w:rPr>
              <w:t xml:space="preserve">外企德科人力资源有限公司  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 xml:space="preserve">        </w:t>
            </w:r>
            <w:r>
              <w:rPr>
                <w:rFonts w:ascii="微软雅黑 Light" w:hAnsi="微软雅黑 Light" w:eastAsia="微软雅黑 Light"/>
                <w:b/>
                <w:bCs/>
                <w:sz w:val="18"/>
              </w:rPr>
              <w:t xml:space="preserve">  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  <w:lang w:val="en-US" w:eastAsia="zh-CN"/>
              </w:rPr>
              <w:t>软件开发</w:t>
            </w:r>
            <w:r>
              <w:rPr>
                <w:rFonts w:ascii="微软雅黑 Light" w:hAnsi="微软雅黑 Light" w:eastAsia="微软雅黑 Light"/>
                <w:b/>
                <w:bCs/>
                <w:sz w:val="18"/>
              </w:rPr>
              <w:t xml:space="preserve">工程师   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 xml:space="preserve">      北京    20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  <w:lang w:val="en-US" w:eastAsia="zh-CN"/>
              </w:rPr>
              <w:t>23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>.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  <w:lang w:val="en-US" w:eastAsia="zh-CN"/>
              </w:rPr>
              <w:t>2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>-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  <w:lang w:val="en-US" w:eastAsia="zh-CN"/>
              </w:rPr>
              <w:t>至今</w:t>
            </w:r>
          </w:p>
          <w:p w14:paraId="67F7AF19">
            <w:pPr>
              <w:numPr>
                <w:ilvl w:val="0"/>
                <w:numId w:val="2"/>
              </w:numPr>
              <w:jc w:val="both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</w:rPr>
              <w:t>主要负责云计算安全专项运作和治理工具的开发，包括账号、权限、证书、网络、配置的治理工具</w:t>
            </w:r>
          </w:p>
          <w:p w14:paraId="782A8633">
            <w:pPr>
              <w:numPr>
                <w:ilvl w:val="0"/>
                <w:numId w:val="2"/>
              </w:numPr>
              <w:jc w:val="both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</w:rPr>
              <w:t>主要业绩：达成每年OBP项目目标，获得安全优秀治理团体；由专项治理目标引发的安全漏洞数从月均200+，降至月均70+</w:t>
            </w:r>
          </w:p>
          <w:p w14:paraId="3754F840">
            <w:pPr>
              <w:jc w:val="both"/>
              <w:rPr>
                <w:rFonts w:hint="eastAsia" w:ascii="微软雅黑 Light" w:hAnsi="微软雅黑 Light" w:eastAsia="微软雅黑 Light"/>
                <w:sz w:val="18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 xml:space="preserve">北京盛创恒达房地产开发有限公司        </w:t>
            </w:r>
            <w:r>
              <w:rPr>
                <w:rFonts w:ascii="微软雅黑 Light" w:hAnsi="微软雅黑 Light" w:eastAsia="微软雅黑 Light"/>
                <w:b/>
                <w:bCs/>
                <w:sz w:val="18"/>
              </w:rPr>
              <w:t xml:space="preserve">  推荐算法工程师   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 xml:space="preserve">      北京    201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  <w:lang w:val="en-US" w:eastAsia="zh-CN"/>
              </w:rPr>
              <w:t>9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>.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  <w:lang w:val="en-US" w:eastAsia="zh-CN"/>
              </w:rPr>
              <w:t>9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>-20</w:t>
            </w:r>
            <w:r>
              <w:rPr>
                <w:rFonts w:hint="eastAsia" w:ascii="微软雅黑 Light" w:hAnsi="微软雅黑 Light" w:eastAsia="微软雅黑 Light"/>
                <w:b/>
                <w:bCs/>
                <w:sz w:val="18"/>
                <w:lang w:val="en-US" w:eastAsia="zh-CN"/>
              </w:rPr>
              <w:t>21.1</w:t>
            </w:r>
            <w:bookmarkStart w:id="0" w:name="_GoBack"/>
            <w:bookmarkEnd w:id="0"/>
          </w:p>
          <w:p w14:paraId="5C9CA983">
            <w:pPr>
              <w:numPr>
                <w:ilvl w:val="0"/>
                <w:numId w:val="2"/>
              </w:numPr>
              <w:jc w:val="both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</w:rPr>
              <w:t>主要负责物业服务软件商品推荐的日志信息的管理、制定多路召回策略，对排序算法进行优化和升级</w:t>
            </w:r>
          </w:p>
          <w:p w14:paraId="424396A6">
            <w:pPr>
              <w:numPr>
                <w:ilvl w:val="0"/>
                <w:numId w:val="2"/>
              </w:numPr>
              <w:jc w:val="both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</w:rPr>
              <w:t>主要业绩：召回率从 2%提升至 5%，排序模型 AUC 达到 75%</w:t>
            </w:r>
          </w:p>
          <w:p w14:paraId="7658C40F">
            <w:pPr>
              <w:ind w:left="420"/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5EAED00C">
        <w:tblPrEx>
          <w:tblLayout w:type="fixed"/>
        </w:tblPrEx>
        <w:tc>
          <w:tcPr>
            <w:tcW w:w="8222" w:type="dxa"/>
            <w:gridSpan w:val="3"/>
            <w:tcBorders>
              <w:bottom w:val="single" w:color="auto" w:sz="4" w:space="0"/>
            </w:tcBorders>
          </w:tcPr>
          <w:p w14:paraId="30D49695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>项目描述</w:t>
            </w:r>
          </w:p>
        </w:tc>
        <w:tc>
          <w:tcPr>
            <w:tcW w:w="300" w:type="dxa"/>
            <w:tcBorders>
              <w:bottom w:val="single" w:color="auto" w:sz="4" w:space="0"/>
            </w:tcBorders>
          </w:tcPr>
          <w:p w14:paraId="66A18D18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714E9C24">
        <w:tblPrEx>
          <w:tblLayout w:type="fixed"/>
        </w:tblPrEx>
        <w:trPr>
          <w:trHeight w:val="65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EA48D">
            <w:pPr>
              <w:pStyle w:val="9"/>
              <w:spacing w:before="0" w:beforeAutospacing="0" w:after="0" w:afterAutospacing="0" w:line="240" w:lineRule="exact"/>
              <w:jc w:val="left"/>
              <w:rPr>
                <w:rFonts w:ascii="微软雅黑 Light" w:hAnsi="微软雅黑 Light" w:eastAsia="微软雅黑 Light"/>
                <w:sz w:val="18"/>
                <w:szCs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  <w:szCs w:val="18"/>
              </w:rPr>
              <w:t>数据管理与分析</w:t>
            </w:r>
          </w:p>
        </w:tc>
        <w:tc>
          <w:tcPr>
            <w:tcW w:w="6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643E8">
            <w:pPr>
              <w:pStyle w:val="9"/>
              <w:spacing w:before="0" w:beforeAutospacing="0" w:after="0" w:afterAutospacing="0" w:line="240" w:lineRule="exact"/>
              <w:ind w:firstLine="360" w:firstLineChars="200"/>
              <w:jc w:val="left"/>
              <w:rPr>
                <w:rFonts w:ascii="微软雅黑 Light" w:hAnsi="微软雅黑 Light" w:eastAsia="微软雅黑 Light"/>
                <w:sz w:val="18"/>
                <w:szCs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  <w:szCs w:val="18"/>
              </w:rPr>
              <w:t>熟练掌握日志管理技术，能够对海量日志数据进行收集、存储、清洗和分析，提取有价值的信息用于项目决策。精通 SQL 语言，可高效查询和处理数据库中的数据，运用 Python 的 pandas、numpy 等库进行数据处理和分析，为策略制定和算法优化提供数据支持。</w:t>
            </w:r>
          </w:p>
        </w:tc>
        <w:tc>
          <w:tcPr>
            <w:tcW w:w="300" w:type="dxa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 w14:paraId="06A7E025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11B9F13F">
        <w:tblPrEx>
          <w:tblLayout w:type="fixed"/>
        </w:tblPrEx>
        <w:trPr>
          <w:trHeight w:val="65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39545">
            <w:pPr>
              <w:pStyle w:val="9"/>
              <w:spacing w:before="0" w:beforeAutospacing="0" w:after="0" w:afterAutospacing="0" w:line="240" w:lineRule="exact"/>
              <w:jc w:val="left"/>
              <w:rPr>
                <w:rFonts w:ascii="微软雅黑 Light" w:hAnsi="微软雅黑 Light" w:eastAsia="微软雅黑 Light"/>
                <w:sz w:val="18"/>
                <w:szCs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  <w:szCs w:val="18"/>
                <w:lang w:val="en-US" w:eastAsia="zh-CN"/>
              </w:rPr>
              <w:t>安全专项</w:t>
            </w:r>
            <w:r>
              <w:rPr>
                <w:rFonts w:hint="eastAsia" w:ascii="微软雅黑 Light" w:hAnsi="微软雅黑 Light" w:eastAsia="微软雅黑 Light"/>
                <w:sz w:val="18"/>
                <w:szCs w:val="18"/>
              </w:rPr>
              <w:t>管理与协作</w:t>
            </w:r>
          </w:p>
        </w:tc>
        <w:tc>
          <w:tcPr>
            <w:tcW w:w="6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274AB">
            <w:pPr>
              <w:pStyle w:val="9"/>
              <w:spacing w:before="0" w:beforeAutospacing="0" w:after="0" w:afterAutospacing="0" w:line="240" w:lineRule="exact"/>
              <w:ind w:firstLine="360" w:firstLineChars="200"/>
              <w:jc w:val="left"/>
              <w:rPr>
                <w:rFonts w:ascii="微软雅黑 Light" w:hAnsi="微软雅黑 Light" w:eastAsia="微软雅黑 Light"/>
                <w:sz w:val="18"/>
                <w:szCs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  <w:szCs w:val="18"/>
              </w:rPr>
              <w:t>在项目执行过程中，具备良好的项目管理能力，能够合理规划任务、安排时间进度，确保项目按计划推进。同时，与团队成员保持密切沟通与协作，包括开发人员、产品经理、数据分析师等，共同解决项目中遇到的各种问题，保障项目的顺利进行。</w:t>
            </w:r>
          </w:p>
        </w:tc>
        <w:tc>
          <w:tcPr>
            <w:tcW w:w="300" w:type="dxa"/>
            <w:vMerge w:val="continue"/>
            <w:tcBorders>
              <w:left w:val="single" w:color="auto" w:sz="4" w:space="0"/>
            </w:tcBorders>
          </w:tcPr>
          <w:p w14:paraId="3AA2C705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7239FB97">
        <w:tblPrEx>
          <w:tblLayout w:type="fixed"/>
        </w:tblPrEx>
        <w:trPr>
          <w:trHeight w:val="38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60715">
            <w:pPr>
              <w:pStyle w:val="9"/>
              <w:spacing w:before="0" w:beforeAutospacing="0" w:after="0" w:afterAutospacing="0" w:line="240" w:lineRule="exact"/>
              <w:jc w:val="left"/>
              <w:rPr>
                <w:rFonts w:ascii="微软雅黑 Light" w:hAnsi="微软雅黑 Light" w:eastAsia="微软雅黑 Light"/>
                <w:sz w:val="18"/>
                <w:szCs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  <w:szCs w:val="18"/>
              </w:rPr>
              <w:t>推荐模型算法优化</w:t>
            </w:r>
          </w:p>
        </w:tc>
        <w:tc>
          <w:tcPr>
            <w:tcW w:w="6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ACCDE">
            <w:pPr>
              <w:pStyle w:val="9"/>
              <w:spacing w:before="0" w:beforeAutospacing="0" w:after="0" w:afterAutospacing="0" w:line="240" w:lineRule="exact"/>
              <w:jc w:val="left"/>
              <w:rPr>
                <w:rFonts w:ascii="微软雅黑 Light" w:hAnsi="微软雅黑 Light" w:eastAsia="微软雅黑 Light"/>
                <w:sz w:val="18"/>
                <w:szCs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  <w:szCs w:val="18"/>
              </w:rPr>
              <w:t> </w:t>
            </w:r>
            <w:r>
              <w:rPr>
                <w:rFonts w:hint="eastAsia" w:ascii="微软雅黑 Light" w:hAnsi="微软雅黑 Light" w:eastAsia="微软雅黑 Light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微软雅黑 Light" w:hAnsi="微软雅黑 Light" w:eastAsia="微软雅黑 Light"/>
                <w:sz w:val="18"/>
                <w:szCs w:val="18"/>
              </w:rPr>
              <w:t>对召回结果进行精排，采用Lr模型筛选用户点击率高的物品；采用W</w:t>
            </w:r>
            <w:r>
              <w:rPr>
                <w:rFonts w:ascii="微软雅黑 Light" w:hAnsi="微软雅黑 Light" w:eastAsia="微软雅黑 Light"/>
                <w:sz w:val="18"/>
                <w:szCs w:val="18"/>
              </w:rPr>
              <w:t>ord2vec</w:t>
            </w:r>
            <w:r>
              <w:rPr>
                <w:rFonts w:hint="eastAsia" w:ascii="微软雅黑 Light" w:hAnsi="微软雅黑 Light" w:eastAsia="微软雅黑 Light"/>
                <w:sz w:val="18"/>
                <w:szCs w:val="18"/>
              </w:rPr>
              <w:t>模型，计算物品Embedding，对用户点击历史序列做Average pooling，计算用户长期兴趣和短期兴趣，对召回结果中用户感兴趣的物品进行精排重排；根据</w:t>
            </w:r>
            <w:r>
              <w:rPr>
                <w:rFonts w:hint="eastAsia" w:ascii="微软雅黑 Light" w:hAnsi="微软雅黑 Light" w:eastAsia="微软雅黑 Light"/>
                <w:sz w:val="18"/>
                <w:szCs w:val="18"/>
                <w:lang w:val="en-US" w:eastAsia="zh-CN"/>
              </w:rPr>
              <w:t>t</w:t>
            </w:r>
            <w:r>
              <w:rPr>
                <w:rFonts w:hint="eastAsia" w:ascii="微软雅黑 Light" w:hAnsi="微软雅黑 Light" w:eastAsia="微软雅黑 Light"/>
                <w:sz w:val="18"/>
                <w:szCs w:val="18"/>
              </w:rPr>
              <w:t>f-idf对点击序列做权重指标，进行Weight pooling优化用户兴趣的计算</w:t>
            </w:r>
          </w:p>
        </w:tc>
        <w:tc>
          <w:tcPr>
            <w:tcW w:w="300" w:type="dxa"/>
            <w:vMerge w:val="continue"/>
            <w:tcBorders>
              <w:left w:val="single" w:color="auto" w:sz="4" w:space="0"/>
            </w:tcBorders>
          </w:tcPr>
          <w:p w14:paraId="0E1261AE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406E1BEA">
        <w:tblPrEx>
          <w:tblLayout w:type="fixed"/>
        </w:tblPrEx>
        <w:trPr>
          <w:trHeight w:val="388" w:hRule="atLeast"/>
        </w:trPr>
        <w:tc>
          <w:tcPr>
            <w:tcW w:w="1242" w:type="dxa"/>
            <w:tcBorders>
              <w:top w:val="single" w:color="auto" w:sz="4" w:space="0"/>
            </w:tcBorders>
          </w:tcPr>
          <w:p w14:paraId="55625638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  <w:tc>
          <w:tcPr>
            <w:tcW w:w="6980" w:type="dxa"/>
            <w:gridSpan w:val="2"/>
            <w:tcBorders>
              <w:top w:val="single" w:color="auto" w:sz="4" w:space="0"/>
            </w:tcBorders>
          </w:tcPr>
          <w:p w14:paraId="3892918A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  <w:tc>
          <w:tcPr>
            <w:tcW w:w="300" w:type="dxa"/>
            <w:tcBorders>
              <w:left w:val="nil"/>
            </w:tcBorders>
          </w:tcPr>
          <w:p w14:paraId="69E63AE4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7E8A36A1">
        <w:tblPrEx>
          <w:tblLayout w:type="fixed"/>
        </w:tblPrEx>
        <w:tc>
          <w:tcPr>
            <w:tcW w:w="8222" w:type="dxa"/>
            <w:gridSpan w:val="3"/>
            <w:tcBorders>
              <w:bottom w:val="single" w:color="auto" w:sz="4" w:space="0"/>
            </w:tcBorders>
          </w:tcPr>
          <w:p w14:paraId="6FC913D3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  <w:r>
              <w:rPr>
                <w:rFonts w:hint="eastAsia" w:ascii="微软雅黑 Light" w:hAnsi="微软雅黑 Light" w:eastAsia="微软雅黑 Light"/>
                <w:b/>
                <w:bCs/>
                <w:sz w:val="18"/>
              </w:rPr>
              <w:t>技能描述</w:t>
            </w:r>
          </w:p>
        </w:tc>
        <w:tc>
          <w:tcPr>
            <w:tcW w:w="300" w:type="dxa"/>
            <w:tcBorders>
              <w:bottom w:val="single" w:color="auto" w:sz="4" w:space="0"/>
            </w:tcBorders>
          </w:tcPr>
          <w:p w14:paraId="100A8482">
            <w:pPr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  <w:tr w14:paraId="7953CAC1">
        <w:tblPrEx>
          <w:tblLayout w:type="fixed"/>
        </w:tblPrEx>
        <w:tc>
          <w:tcPr>
            <w:tcW w:w="8522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175EC2AA">
            <w:pPr>
              <w:numPr>
                <w:ilvl w:val="0"/>
                <w:numId w:val="3"/>
              </w:numPr>
              <w:jc w:val="both"/>
              <w:rPr>
                <w:rFonts w:ascii="微软雅黑 Light" w:hAnsi="微软雅黑 Light" w:eastAsia="微软雅黑 Light"/>
                <w:b/>
                <w:bCs/>
                <w:sz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</w:rPr>
              <w:t>编程语言：python</w:t>
            </w:r>
            <w:r>
              <w:rPr>
                <w:rFonts w:hint="eastAsia" w:ascii="微软雅黑 Light" w:hAnsi="微软雅黑 Light" w:eastAsia="微软雅黑 Light"/>
                <w:sz w:val="18"/>
                <w:lang w:eastAsia="zh-CN"/>
              </w:rPr>
              <w:t>、</w:t>
            </w:r>
            <w:r>
              <w:rPr>
                <w:rFonts w:hint="eastAsia" w:ascii="微软雅黑 Light" w:hAnsi="微软雅黑 Light" w:eastAsia="微软雅黑 Light"/>
                <w:sz w:val="18"/>
                <w:lang w:val="en-US" w:eastAsia="zh-CN"/>
              </w:rPr>
              <w:t>java</w:t>
            </w:r>
          </w:p>
          <w:p w14:paraId="295EB71F">
            <w:pPr>
              <w:numPr>
                <w:ilvl w:val="0"/>
                <w:numId w:val="3"/>
              </w:numPr>
              <w:jc w:val="both"/>
              <w:rPr>
                <w:rFonts w:ascii="微软雅黑 Light" w:hAnsi="微软雅黑 Light" w:eastAsia="微软雅黑 Light"/>
                <w:b/>
                <w:bCs/>
                <w:sz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  <w:lang w:val="en-US" w:eastAsia="zh-CN"/>
              </w:rPr>
              <w:t>擅长领域</w:t>
            </w:r>
            <w:r>
              <w:rPr>
                <w:rFonts w:hint="eastAsia" w:ascii="微软雅黑 Light" w:hAnsi="微软雅黑 Light" w:eastAsia="微软雅黑 Light"/>
                <w:sz w:val="18"/>
              </w:rPr>
              <w:t xml:space="preserve">： </w:t>
            </w:r>
            <w:r>
              <w:rPr>
                <w:rFonts w:hint="eastAsia" w:ascii="微软雅黑 Light" w:hAnsi="微软雅黑 Light" w:eastAsia="微软雅黑 Light"/>
                <w:sz w:val="18"/>
                <w:lang w:val="en-US" w:eastAsia="zh-CN"/>
              </w:rPr>
              <w:t>云计算安全知识、项目化运作管理、数据分析与可视化、算法设计与优化</w:t>
            </w:r>
          </w:p>
          <w:p w14:paraId="76B0D7CD">
            <w:pPr>
              <w:numPr>
                <w:ilvl w:val="0"/>
                <w:numId w:val="3"/>
              </w:numPr>
              <w:jc w:val="both"/>
              <w:rPr>
                <w:rFonts w:ascii="微软雅黑 Light" w:hAnsi="微软雅黑 Light" w:eastAsia="微软雅黑 Light"/>
                <w:b/>
                <w:bCs/>
                <w:sz w:val="18"/>
              </w:rPr>
            </w:pPr>
            <w:r>
              <w:rPr>
                <w:rFonts w:hint="eastAsia" w:ascii="微软雅黑 Light" w:hAnsi="微软雅黑 Light" w:eastAsia="微软雅黑 Light"/>
                <w:sz w:val="18"/>
                <w:lang w:val="en-US" w:eastAsia="zh-CN"/>
              </w:rPr>
              <w:t>技能关键词</w:t>
            </w:r>
            <w:r>
              <w:rPr>
                <w:rFonts w:hint="eastAsia" w:ascii="微软雅黑 Light" w:hAnsi="微软雅黑 Light" w:eastAsia="微软雅黑 Light"/>
                <w:sz w:val="18"/>
              </w:rPr>
              <w:t>：</w:t>
            </w:r>
            <w:r>
              <w:rPr>
                <w:rFonts w:hint="eastAsia" w:ascii="微软雅黑 Light" w:hAnsi="微软雅黑 Light" w:eastAsia="微软雅黑 Light"/>
                <w:sz w:val="18"/>
                <w:lang w:val="en-US" w:eastAsia="zh-CN"/>
              </w:rPr>
              <w:t>DevOps、K8s、LSTM、Adaboost、DataLake、CVSS、PKI、</w:t>
            </w:r>
            <w:r>
              <w:rPr>
                <w:rFonts w:hint="eastAsia" w:ascii="微软雅黑 Light" w:hAnsi="微软雅黑 Light" w:eastAsia="微软雅黑 Light"/>
                <w:sz w:val="18"/>
              </w:rPr>
              <w:t xml:space="preserve"> </w:t>
            </w:r>
            <w:r>
              <w:rPr>
                <w:rFonts w:hint="eastAsia" w:ascii="微软雅黑 Light" w:hAnsi="微软雅黑 Light" w:eastAsia="微软雅黑 Light"/>
                <w:sz w:val="18"/>
                <w:lang w:val="en-US" w:eastAsia="zh-CN"/>
              </w:rPr>
              <w:t>GDPR</w:t>
            </w:r>
          </w:p>
        </w:tc>
      </w:tr>
      <w:tr w14:paraId="12E90EE5">
        <w:tblPrEx>
          <w:tblLayout w:type="fixed"/>
        </w:tblPrEx>
        <w:tc>
          <w:tcPr>
            <w:tcW w:w="8522" w:type="dxa"/>
            <w:gridSpan w:val="4"/>
            <w:tcBorders>
              <w:top w:val="single" w:color="auto" w:sz="4" w:space="0"/>
            </w:tcBorders>
          </w:tcPr>
          <w:p w14:paraId="0C076637">
            <w:pPr>
              <w:spacing w:line="240" w:lineRule="exact"/>
              <w:jc w:val="both"/>
              <w:rPr>
                <w:rFonts w:ascii="微软雅黑 Light" w:hAnsi="微软雅黑 Light" w:eastAsia="微软雅黑 Light"/>
                <w:sz w:val="18"/>
              </w:rPr>
            </w:pPr>
          </w:p>
        </w:tc>
      </w:tr>
    </w:tbl>
    <w:p w14:paraId="1E9654E9">
      <w:pPr>
        <w:spacing w:line="240" w:lineRule="exact"/>
        <w:rPr>
          <w:rFonts w:ascii="微软雅黑 Light" w:hAnsi="微软雅黑 Light" w:eastAsia="微软雅黑 Light"/>
          <w:sz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ingFang SC"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微软雅黑 Light">
    <w:altName w:val="汉仪中黑KW"/>
    <w:panose1 w:val="020B0502040204020203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37CE6E0"/>
    <w:multiLevelType w:val="singleLevel"/>
    <w:tmpl w:val="F37CE6E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BA7D43"/>
    <w:multiLevelType w:val="singleLevel"/>
    <w:tmpl w:val="59BA7D4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9BF3873"/>
    <w:multiLevelType w:val="singleLevel"/>
    <w:tmpl w:val="59BF387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link w:val="15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4">
    <w:name w:val="heading 5"/>
    <w:basedOn w:val="1"/>
    <w:next w:val="1"/>
    <w:link w:val="16"/>
    <w:unhideWhenUsed/>
    <w:qFormat/>
    <w:uiPriority w:val="0"/>
    <w:pPr>
      <w:keepNext/>
      <w:keepLines/>
      <w:spacing w:before="280" w:after="290" w:line="372" w:lineRule="auto"/>
      <w:ind w:left="200" w:leftChars="200"/>
      <w:outlineLvl w:val="4"/>
    </w:pPr>
    <w:rPr>
      <w:rFonts w:eastAsia="黑体"/>
      <w:b/>
      <w:bCs/>
      <w:sz w:val="24"/>
      <w:szCs w:val="28"/>
    </w:rPr>
  </w:style>
  <w:style w:type="character" w:default="1" w:styleId="10">
    <w:name w:val="Default Paragraph Font"/>
    <w:unhideWhenUsed/>
    <w:uiPriority w:val="1"/>
  </w:style>
  <w:style w:type="table" w:default="1" w:styleId="1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unhideWhenUsed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unhideWhenUsed/>
    <w:uiPriority w:val="99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标题 4 Char"/>
    <w:basedOn w:val="10"/>
    <w:link w:val="3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16">
    <w:name w:val="标题 5 Char"/>
    <w:basedOn w:val="10"/>
    <w:link w:val="4"/>
    <w:qFormat/>
    <w:uiPriority w:val="0"/>
    <w:rPr>
      <w:rFonts w:ascii="Times New Roman" w:hAnsi="Times New Roman" w:eastAsia="黑体"/>
      <w:b/>
      <w:bCs/>
      <w:kern w:val="2"/>
      <w:sz w:val="24"/>
      <w:szCs w:val="28"/>
    </w:rPr>
  </w:style>
  <w:style w:type="character" w:customStyle="1" w:styleId="17">
    <w:name w:val="批注框文本 Char"/>
    <w:basedOn w:val="10"/>
    <w:link w:val="5"/>
    <w:qFormat/>
    <w:uiPriority w:val="0"/>
    <w:rPr>
      <w:kern w:val="2"/>
      <w:sz w:val="18"/>
      <w:szCs w:val="18"/>
    </w:rPr>
  </w:style>
  <w:style w:type="character" w:customStyle="1" w:styleId="18">
    <w:name w:val="页眉 Char"/>
    <w:basedOn w:val="10"/>
    <w:link w:val="7"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0"/>
    <w:link w:val="6"/>
    <w:qFormat/>
    <w:uiPriority w:val="0"/>
    <w:rPr>
      <w:kern w:val="2"/>
      <w:sz w:val="18"/>
      <w:szCs w:val="18"/>
    </w:rPr>
  </w:style>
  <w:style w:type="paragraph" w:customStyle="1" w:styleId="20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154</Words>
  <Characters>882</Characters>
  <Lines>7</Lines>
  <Paragraphs>2</Paragraphs>
  <TotalTime>0</TotalTime>
  <ScaleCrop>false</ScaleCrop>
  <LinksUpToDate>false</LinksUpToDate>
  <CharactersWithSpaces>1034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2021-12-01T07:13:00Z</dcterms:created>
  <dc:creator>jiang</dc:creator>
  <cp:lastModifiedBy>iPhone</cp:lastModifiedBy>
  <dcterms:modified xsi:type="dcterms:W3CDTF">2025-04-15T17:24:07Z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2052-12.22.1</vt:lpwstr>
  </property>
  <property fmtid="{D5CDD505-2E9C-101B-9397-08002B2CF9AE}" pid="3" name="ICV">
    <vt:lpwstr>C59A4ACFA4634DFFB3AFFD67379B21F7_42</vt:lpwstr>
  </property>
</Properties>
</file>